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FE288" w14:textId="71F2CF27" w:rsidR="00CB7D08" w:rsidRPr="00306A3C" w:rsidRDefault="00306A3C" w:rsidP="00306A3C">
      <w:pPr>
        <w:pStyle w:val="Heading1"/>
        <w:spacing w:after="240"/>
        <w:rPr>
          <w:b/>
          <w:bCs/>
          <w:color w:val="FFFFFF" w:themeColor="background1"/>
        </w:rPr>
      </w:pPr>
      <w:r w:rsidRPr="00306A3C">
        <w:rPr>
          <w:b/>
          <w:bCs/>
          <w:noProof/>
          <w:color w:val="FFFFFF" w:themeColor="background1"/>
        </w:rPr>
        <mc:AlternateContent>
          <mc:Choice Requires="wps">
            <w:drawing>
              <wp:anchor distT="0" distB="0" distL="114300" distR="114300" simplePos="0" relativeHeight="251659264" behindDoc="1" locked="0" layoutInCell="1" allowOverlap="1" wp14:anchorId="6C88754F" wp14:editId="1E8857A8">
                <wp:simplePos x="0" y="0"/>
                <wp:positionH relativeFrom="page">
                  <wp:align>left</wp:align>
                </wp:positionH>
                <wp:positionV relativeFrom="paragraph">
                  <wp:posOffset>89427</wp:posOffset>
                </wp:positionV>
                <wp:extent cx="7780763" cy="600075"/>
                <wp:effectExtent l="0" t="0" r="0" b="9525"/>
                <wp:wrapNone/>
                <wp:docPr id="3" name="Rectangle 3"/>
                <wp:cNvGraphicFramePr/>
                <a:graphic xmlns:a="http://schemas.openxmlformats.org/drawingml/2006/main">
                  <a:graphicData uri="http://schemas.microsoft.com/office/word/2010/wordprocessingShape">
                    <wps:wsp>
                      <wps:cNvSpPr/>
                      <wps:spPr>
                        <a:xfrm>
                          <a:off x="0" y="0"/>
                          <a:ext cx="7780763" cy="60007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7918EF" id="Rectangle 3" o:spid="_x0000_s1026" style="position:absolute;margin-left:0;margin-top:7.05pt;width:612.65pt;height:47.2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aObkQIAAIQFAAAOAAAAZHJzL2Uyb0RvYy54bWysVE1v2zAMvQ/YfxB0X+2kH+mCOEWQosOA&#10;og3aDj2rshQLkEVNUuJkv36U5DhtV+ww7CKLIvlIPpOcXe1aTbbCeQWmoqOTkhJhONTKrCv64+nm&#10;yyUlPjBTMw1GVHQvPL2af/406+xUjKEBXQtHEMT4aWcr2oRgp0XheSNa5k/ACoNKCa5lAUW3LmrH&#10;OkRvdTEuy4uiA1dbB1x4j6/XWUnnCV9KwcO9lF4EoiuKuYV0unS+xLOYz9h07ZhtFO/TYP+QRcuU&#10;waAD1DULjGyc+gOqVdyBBxlOOLQFSKm4SDVgNaPyXTWPDbMi1YLkeDvQ5P8fLL/brhxRdUVPKTGs&#10;xV/0gKQxs9aCnEZ6OuunaPVoV66XPF5jrTvp2vjFKsguUbofKBW7QDg+TiaX5eQCsTnqLsqynJxH&#10;0OLobZ0P3wS0JF4q6jB6YpJtb33IpgeTGMyDVvWN0joJsU3EUjuyZfiDw27Ug7+x0ibaGoheGTC+&#10;FLGwXEq6hb0W0U6bByGREUx+nBJJvXgMwjgXJoyyqmG1yLHPsbbUTlja4JEKTYARWWL8AbsHeFvA&#10;ATtn2dtHV5FaeXAu/5ZYdh48UmQwYXBulQH3EYDGqvrI2f5AUqYmsvQC9R77xUEeJG/5jcLfdst8&#10;WDGHk4Mzhtsg3OMhNXQVhf5GSQPu10fv0R4bGrWUdDiJFfU/N8wJSvR3g63+dXR2Fkc3CWfnkzEK&#10;7rXm5bXGbNolYC+McO9Ynq7RPujDVTpon3FpLGJUVDHDMXZFeXAHYRnyhsC1w8VikcxwXC0Lt+bR&#10;8ggeWY1t+bR7Zs72vRuw6+/gMLVs+q6Fs230NLDYBJAq9feR155vHPXUOP1airvktZysjstz/hsA&#10;AP//AwBQSwMEFAAGAAgAAAAhAEbOpdDeAAAACAEAAA8AAABkcnMvZG93bnJldi54bWxMj8FuwjAQ&#10;RO+V+AdrK/VSFYdAIpTGQUDhwqUt9ANMvE0i4nUUGwh/z3Jqb7s7o9k3+WKwrbhg7xtHCibjCARS&#10;6UxDlYKfw/ZtDsIHTUa3jlDBDT0sitFTrjPjrvSNl32oBIeQz7SCOoQuk9KXNVrtx65DYu3X9VYH&#10;XvtKml5fOdy2Mo6iVFrdEH+odYfrGsvT/mwVHD6/0s22SSjuTh/LWZmsXje7lVIvz8PyHUTAIfyZ&#10;4YHP6FAw09GdyXjRKuAiga+zCYiHGsfJFMSRp2iegixy+b9AcQcAAP//AwBQSwECLQAUAAYACAAA&#10;ACEAtoM4kv4AAADhAQAAEwAAAAAAAAAAAAAAAAAAAAAAW0NvbnRlbnRfVHlwZXNdLnhtbFBLAQIt&#10;ABQABgAIAAAAIQA4/SH/1gAAAJQBAAALAAAAAAAAAAAAAAAAAC8BAABfcmVscy8ucmVsc1BLAQIt&#10;ABQABgAIAAAAIQCAFaObkQIAAIQFAAAOAAAAAAAAAAAAAAAAAC4CAABkcnMvZTJvRG9jLnhtbFBL&#10;AQItABQABgAIAAAAIQBGzqXQ3gAAAAgBAAAPAAAAAAAAAAAAAAAAAOsEAABkcnMvZG93bnJldi54&#10;bWxQSwUGAAAAAAQABADzAAAA9gUAAAAA&#10;" fillcolor="black [3213]" stroked="f" strokeweight="1pt">
                <w10:wrap anchorx="page"/>
              </v:rect>
            </w:pict>
          </mc:Fallback>
        </mc:AlternateContent>
      </w:r>
      <w:r w:rsidR="004B3B1C" w:rsidRPr="00306A3C">
        <w:rPr>
          <w:b/>
          <w:bCs/>
          <w:color w:val="FFFFFF" w:themeColor="background1"/>
        </w:rPr>
        <w:t xml:space="preserve">Appendix </w:t>
      </w:r>
      <w:r w:rsidR="0031113D">
        <w:rPr>
          <w:b/>
          <w:bCs/>
          <w:color w:val="FFFFFF" w:themeColor="background1"/>
        </w:rPr>
        <w:t>B</w:t>
      </w:r>
      <w:r w:rsidR="00387D2E" w:rsidRPr="00306A3C">
        <w:rPr>
          <w:b/>
          <w:bCs/>
          <w:color w:val="FFFFFF" w:themeColor="background1"/>
        </w:rPr>
        <w:t>-</w:t>
      </w:r>
      <w:r w:rsidR="00314501">
        <w:rPr>
          <w:b/>
          <w:bCs/>
          <w:color w:val="FFFFFF" w:themeColor="background1"/>
        </w:rPr>
        <w:t>3</w:t>
      </w:r>
      <w:r w:rsidR="00387D2E" w:rsidRPr="00306A3C">
        <w:rPr>
          <w:b/>
          <w:bCs/>
          <w:color w:val="FFFFFF" w:themeColor="background1"/>
        </w:rPr>
        <w:t>:</w:t>
      </w:r>
      <w:r w:rsidR="00ED6E26">
        <w:rPr>
          <w:b/>
          <w:bCs/>
          <w:color w:val="FFFFFF" w:themeColor="background1"/>
        </w:rPr>
        <w:t xml:space="preserve"> </w:t>
      </w:r>
      <w:r w:rsidR="00314501">
        <w:rPr>
          <w:b/>
          <w:bCs/>
          <w:color w:val="FFFFFF" w:themeColor="background1"/>
        </w:rPr>
        <w:t>Categorical Exclusions and</w:t>
      </w:r>
      <w:r w:rsidR="00ED6E26">
        <w:rPr>
          <w:b/>
          <w:bCs/>
          <w:color w:val="FFFFFF" w:themeColor="background1"/>
        </w:rPr>
        <w:t xml:space="preserve"> </w:t>
      </w:r>
      <w:r w:rsidR="00314501" w:rsidRPr="00314501">
        <w:rPr>
          <w:b/>
          <w:bCs/>
          <w:color w:val="FFFFFF" w:themeColor="background1"/>
        </w:rPr>
        <w:t>Programmatic Categorical Exclusion</w:t>
      </w:r>
      <w:r w:rsidR="00314501">
        <w:rPr>
          <w:b/>
          <w:bCs/>
          <w:color w:val="FFFFFF" w:themeColor="background1"/>
        </w:rPr>
        <w:t>s</w:t>
      </w:r>
    </w:p>
    <w:p w14:paraId="2703EEB0" w14:textId="7D102C46" w:rsidR="001B6166" w:rsidRDefault="001B6166" w:rsidP="001B6166">
      <w:pPr>
        <w:spacing w:after="0" w:line="240" w:lineRule="auto"/>
      </w:pPr>
      <w:r>
        <w:t>On behalf of the project sponsor, MDOT SHA will prepare a CE or PCE. The</w:t>
      </w:r>
      <w:r w:rsidR="005A7FA1">
        <w:t>s</w:t>
      </w:r>
      <w:r>
        <w:t>e documents serve to record the project’s potential impacts and satisfy the requirements of NEPA. FHWA approval of a CE serves as NEPA or environmental compliance. MDOT SHA approval of a PCE serves as NEPA or environmental compliance. Very large TAP projects may require more extensive NEPA evaluation and documentation. The MDOT SHA Environmental Manager will assess project impacts based on preliminary evaluations to determine the appropriate documentation required. Full descriptions of the CE and PCE are provided here:</w:t>
      </w:r>
    </w:p>
    <w:p w14:paraId="76E7F10E" w14:textId="47DC5F9D" w:rsidR="0013161E" w:rsidRDefault="0013161E" w:rsidP="00CD797E">
      <w:pPr>
        <w:spacing w:after="240" w:line="240" w:lineRule="auto"/>
      </w:pPr>
      <w:r w:rsidRPr="00306A3C">
        <w:rPr>
          <w:b/>
          <w:bCs/>
          <w:noProof/>
          <w:color w:val="FFFFFF" w:themeColor="background1"/>
        </w:rPr>
        <mc:AlternateContent>
          <mc:Choice Requires="wps">
            <w:drawing>
              <wp:anchor distT="0" distB="0" distL="114300" distR="114300" simplePos="0" relativeHeight="251663360" behindDoc="1" locked="0" layoutInCell="1" allowOverlap="1" wp14:anchorId="4DB59A32" wp14:editId="55D99BC8">
                <wp:simplePos x="0" y="0"/>
                <wp:positionH relativeFrom="page">
                  <wp:align>left</wp:align>
                </wp:positionH>
                <wp:positionV relativeFrom="paragraph">
                  <wp:posOffset>245713</wp:posOffset>
                </wp:positionV>
                <wp:extent cx="4133850" cy="364602"/>
                <wp:effectExtent l="0" t="0" r="0" b="0"/>
                <wp:wrapNone/>
                <wp:docPr id="6" name="Rectangle 6"/>
                <wp:cNvGraphicFramePr/>
                <a:graphic xmlns:a="http://schemas.openxmlformats.org/drawingml/2006/main">
                  <a:graphicData uri="http://schemas.microsoft.com/office/word/2010/wordprocessingShape">
                    <wps:wsp>
                      <wps:cNvSpPr/>
                      <wps:spPr>
                        <a:xfrm>
                          <a:off x="0" y="0"/>
                          <a:ext cx="4133850"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1BC92F" id="Rectangle 6" o:spid="_x0000_s1026" style="position:absolute;margin-left:0;margin-top:19.35pt;width:325.5pt;height:28.7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IlwIAAIUFAAAOAAAAZHJzL2Uyb0RvYy54bWysVE1v2zAMvQ/YfxB0X+18NOuCOEWQIsOA&#10;og3aDj0rshQbkEVNUuJkv36UZLtdV+wwLAdFFMlH8pnk4vrUKHIU1tWgCzq6yCkRmkNZ631Bvz9t&#10;Pl1R4jzTJVOgRUHPwtHr5ccPi9bMxRgqUKWwBEG0m7emoJX3Zp5ljleiYe4CjNColGAb5lG0+6y0&#10;rEX0RmXjPJ9lLdjSWODCOXy9SUq6jPhSCu7vpXTCE1VQzM3H08ZzF85suWDzvWWmqnmXBvuHLBpW&#10;aww6QN0wz8jB1n9ANTW34ED6Cw5NBlLWXMQasJpR/qaax4oZEWtBcpwZaHL/D5bfHbeW1GVBZ5Ro&#10;1uAnekDSmN4rQWaBnta4OVo9mq3tJIfXUOtJ2ib8YxXkFCk9D5SKkyccH6ejyeTqEpnnqJvMprN8&#10;HECzF29jnf8qoCHhUlCL0SOT7HjrfDLtTUIwB6ouN7VSUbD73VpZcmT4eVeTfD2ZdOi/mSkdjDUE&#10;t4QYXrJQWaol3vxZiWCn9IOQSAlmP46ZxGYUQxzGudB+lFQVK0UKf5njr48e2jd4xEojYECWGH/A&#10;7gB6ywTSY6csO/vgKmIvD8753xJLzoNHjAzaD85NrcG+B6Cwqi5ysu9JStQElnZQnrFhLKRJcoZv&#10;avxut8z5LbM4OvipcR34ezykgrag0N0oqcD+fO892GNHo5aSFkexoO7HgVlBifqmsde/jKbTMLtR&#10;mF5+HqNgX2t2rzX60KwB22GEi8fweA32XvVXaaF5xq2xClFRxTTH2AXl3vbC2qcVgXuHi9UqmuG8&#10;GuZv9aPhATywGvry6fTMrOma12Pb30E/tmz+poeTbfDUsDp4kHVs8BdeO75x1mPjdHspLJPXcrR6&#10;2Z7LXwAAAP//AwBQSwMEFAAGAAgAAAAhAEEkIbXeAAAABgEAAA8AAABkcnMvZG93bnJldi54bWxM&#10;j81OwzAQhO9IvIO1SFwQdUJp2oZsKoQEEhUXWi65ufHmR8R2sN02vD3LCY47M5r5tthMZhAn8qF3&#10;FiGdJSDI1k73tkX42D/frkCEqKxWg7OE8E0BNuXlRaFy7c72nU672AousSFXCF2MYy5lqDsyKszc&#10;SJa9xnmjIp++ldqrM5ebQd4lSSaN6i0vdGqkp47qz93RIOzrr8Xry321beqbt6rxc6/X1RLx+mp6&#10;fAARaYp/YfjFZ3QomengjlYHMSDwIxFhvlqCYDdbpCwcENZZCrIs5H/88gcAAP//AwBQSwECLQAU&#10;AAYACAAAACEAtoM4kv4AAADhAQAAEwAAAAAAAAAAAAAAAAAAAAAAW0NvbnRlbnRfVHlwZXNdLnht&#10;bFBLAQItABQABgAIAAAAIQA4/SH/1gAAAJQBAAALAAAAAAAAAAAAAAAAAC8BAABfcmVscy8ucmVs&#10;c1BLAQItABQABgAIAAAAIQCtQ+kIlwIAAIUFAAAOAAAAAAAAAAAAAAAAAC4CAABkcnMvZTJvRG9j&#10;LnhtbFBLAQItABQABgAIAAAAIQBBJCG13gAAAAYBAAAPAAAAAAAAAAAAAAAAAPEEAABkcnMvZG93&#10;bnJldi54bWxQSwUGAAAAAAQABADzAAAA/AUAAAAA&#10;" fillcolor="#a30c33" stroked="f" strokeweight="1pt">
                <w10:wrap anchorx="page"/>
              </v:rect>
            </w:pict>
          </mc:Fallback>
        </mc:AlternateContent>
      </w:r>
    </w:p>
    <w:p w14:paraId="0559F612" w14:textId="53435CD9" w:rsidR="00BC4A6F" w:rsidRPr="00EA651C" w:rsidRDefault="001B6166" w:rsidP="00B33880">
      <w:pPr>
        <w:spacing w:after="240" w:line="240" w:lineRule="auto"/>
        <w:ind w:left="360" w:hanging="360"/>
      </w:pPr>
      <w:bookmarkStart w:id="0" w:name="_Hlk52790728"/>
      <w:r w:rsidRPr="001B6166">
        <w:rPr>
          <w:rFonts w:asciiTheme="majorHAnsi" w:eastAsiaTheme="majorEastAsia" w:hAnsiTheme="majorHAnsi" w:cstheme="majorBidi"/>
          <w:b/>
          <w:bCs/>
          <w:color w:val="FFFFFF" w:themeColor="background1"/>
          <w:sz w:val="28"/>
          <w:szCs w:val="28"/>
        </w:rPr>
        <w:t>Categorical Exclusion (CE)</w:t>
      </w:r>
      <w:bookmarkEnd w:id="0"/>
    </w:p>
    <w:p w14:paraId="04022EB0" w14:textId="28935C90" w:rsidR="00801D0A" w:rsidRDefault="001B6166" w:rsidP="001B6166">
      <w:r w:rsidRPr="001B6166">
        <w:t xml:space="preserve">Categorical exclusions (CEs) are actions which meet the definition contained in 40 CFR 1508.4, </w:t>
      </w:r>
      <w:proofErr w:type="gramStart"/>
      <w:r w:rsidRPr="001B6166">
        <w:t>and,</w:t>
      </w:r>
      <w:proofErr w:type="gramEnd"/>
      <w:r w:rsidRPr="001B6166">
        <w:t xml:space="preserve"> based on FHWA's past experience with similar actions, do not involve significant environmental impacts. They are actions that: do not induce significant impacts to planned growth or land use for the area; do not require the relocation of significant numbers of people; do not have a significant impact on any natural, cultural, recreational, historic, or other resource; do not involve significant air, noise, or water quality impacts; do not have significant impacts on travel patterns; or do not otherwise, either individually or cumulatively, have any significant environmental impacts.</w:t>
      </w:r>
    </w:p>
    <w:p w14:paraId="06BF4FAB" w14:textId="77777777" w:rsidR="001B6166" w:rsidRDefault="001B6166" w:rsidP="001B6166">
      <w:pPr>
        <w:spacing w:after="240" w:line="240" w:lineRule="auto"/>
      </w:pPr>
      <w:r w:rsidRPr="00306A3C">
        <w:rPr>
          <w:b/>
          <w:bCs/>
          <w:noProof/>
          <w:color w:val="FFFFFF" w:themeColor="background1"/>
        </w:rPr>
        <mc:AlternateContent>
          <mc:Choice Requires="wps">
            <w:drawing>
              <wp:anchor distT="0" distB="0" distL="114300" distR="114300" simplePos="0" relativeHeight="251665408" behindDoc="1" locked="0" layoutInCell="1" allowOverlap="1" wp14:anchorId="20CD8592" wp14:editId="65EF4BA2">
                <wp:simplePos x="0" y="0"/>
                <wp:positionH relativeFrom="page">
                  <wp:align>left</wp:align>
                </wp:positionH>
                <wp:positionV relativeFrom="paragraph">
                  <wp:posOffset>245713</wp:posOffset>
                </wp:positionV>
                <wp:extent cx="4219575" cy="364602"/>
                <wp:effectExtent l="0" t="0" r="9525" b="0"/>
                <wp:wrapNone/>
                <wp:docPr id="2" name="Rectangle 2"/>
                <wp:cNvGraphicFramePr/>
                <a:graphic xmlns:a="http://schemas.openxmlformats.org/drawingml/2006/main">
                  <a:graphicData uri="http://schemas.microsoft.com/office/word/2010/wordprocessingShape">
                    <wps:wsp>
                      <wps:cNvSpPr/>
                      <wps:spPr>
                        <a:xfrm>
                          <a:off x="0" y="0"/>
                          <a:ext cx="4219575"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492A30" id="Rectangle 2" o:spid="_x0000_s1026" style="position:absolute;margin-left:0;margin-top:19.35pt;width:332.25pt;height:28.7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sogmQIAAIUFAAAOAAAAZHJzL2Uyb0RvYy54bWysVE1v2zAMvQ/YfxB0X+04ST+COkWQosOA&#10;oi3aDj0rshQbkEVNUuJkv36UZLtdV+wwLAdFFMlH8pnk5dWhVWQvrGtAl3RyklMiNIeq0duSfn++&#10;+XJOifNMV0yBFiU9Ckevlp8/XXZmIQqoQVXCEgTRbtGZktbem0WWOV6LlrkTMEKjUoJtmUfRbrPK&#10;sg7RW5UVeX6adWArY4EL5/D1OinpMuJLKbi/l9IJT1RJMTcfTxvPTTiz5SVbbC0zdcP7NNg/ZNGy&#10;RmPQEeqaeUZ2tvkDqm24BQfSn3BoM5Cy4SLWgNVM8nfVPNXMiFgLkuPMSJP7f7D8bv9gSVOVtKBE&#10;sxY/0SOSxvRWCVIEejrjFmj1ZB5sLzm8hloP0rbhH6sgh0jpcaRUHDzh+DgrJhfzszklHHXT09lp&#10;HkGzV29jnf8qoCXhUlKL0SOTbH/rPEZE08EkBHOgmuqmUSoKdrtZK0v2DD/vapqvp9OQMrr8ZqZ0&#10;MNYQ3JI6vGShslRLvPmjEsFO6UchkRLMvoiZxGYUYxzGudB+klQ1q0QKP8/xN0QP7Rs8Yi4RMCBL&#10;jD9i9wCDZQIZsFOWvX1wFbGXR+f8b4kl59EjRgbtR+e20WA/AlBYVR852Q8kJWoCSxuojtgwFtIk&#10;OcNvGvxut8z5B2ZxdHDIcB34ezykgq6k0N8oqcH+/Og92GNHo5aSDkexpO7HjllBifqmsdcvJrNZ&#10;mN0ozOZnBQr2rWbzVqN37RqwHSa4eAyP12Dv1XCVFtoX3BqrEBVVTHOMXVLu7SCsfVoRuHe4WK2i&#10;Gc6rYf5WPxkewAOroS+fDy/Mmr55Pbb9HQxjyxbvejjZBk8Nq50H2cQGf+W15xtnPTZOv5fCMnkr&#10;R6vX7bn8BQAA//8DAFBLAwQUAAYACAAAACEAQDaGGN8AAAAGAQAADwAAAGRycy9kb3ducmV2Lnht&#10;bEyPzU7DMBCE70i8g7VIXFDrlLZpG7KpEBJIIC60veTmxpsfEa+D7bbh7TEnOI5mNPNNvh1NL87k&#10;fGcZYTZNQBBXVnfcIBz2z5M1CB8Ua9VbJoRv8rAtrq9ylWl74Q8670IjYgn7TCG0IQyZlL5qySg/&#10;tQNx9GrrjApRukZqpy6x3PTyPklSaVTHcaFVAz21VH3uTgZhX30tX18W5Vtd3b2XtZs7vSlXiLc3&#10;4+MDiEBj+AvDL35EhyIyHe2JtRc9QjwSEObrFYjopuliCeKIsElnIItc/scvfgAAAP//AwBQSwEC&#10;LQAUAAYACAAAACEAtoM4kv4AAADhAQAAEwAAAAAAAAAAAAAAAAAAAAAAW0NvbnRlbnRfVHlwZXNd&#10;LnhtbFBLAQItABQABgAIAAAAIQA4/SH/1gAAAJQBAAALAAAAAAAAAAAAAAAAAC8BAABfcmVscy8u&#10;cmVsc1BLAQItABQABgAIAAAAIQDt3sogmQIAAIUFAAAOAAAAAAAAAAAAAAAAAC4CAABkcnMvZTJv&#10;RG9jLnhtbFBLAQItABQABgAIAAAAIQBANoYY3wAAAAYBAAAPAAAAAAAAAAAAAAAAAPMEAABkcnMv&#10;ZG93bnJldi54bWxQSwUGAAAAAAQABADzAAAA/wUAAAAA&#10;" fillcolor="#a30c33" stroked="f" strokeweight="1pt">
                <w10:wrap anchorx="page"/>
              </v:rect>
            </w:pict>
          </mc:Fallback>
        </mc:AlternateContent>
      </w:r>
    </w:p>
    <w:p w14:paraId="745FF882" w14:textId="25B1944F" w:rsidR="001B6166" w:rsidRPr="00EA651C" w:rsidRDefault="001B6166" w:rsidP="001B6166">
      <w:pPr>
        <w:spacing w:after="240" w:line="240" w:lineRule="auto"/>
        <w:ind w:left="360" w:hanging="360"/>
      </w:pPr>
      <w:r>
        <w:rPr>
          <w:rFonts w:asciiTheme="majorHAnsi" w:eastAsiaTheme="majorEastAsia" w:hAnsiTheme="majorHAnsi" w:cstheme="majorBidi"/>
          <w:b/>
          <w:bCs/>
          <w:color w:val="FFFFFF" w:themeColor="background1"/>
          <w:sz w:val="28"/>
          <w:szCs w:val="28"/>
        </w:rPr>
        <w:t>P</w:t>
      </w:r>
      <w:r w:rsidRPr="001B6166">
        <w:rPr>
          <w:rFonts w:asciiTheme="majorHAnsi" w:eastAsiaTheme="majorEastAsia" w:hAnsiTheme="majorHAnsi" w:cstheme="majorBidi"/>
          <w:b/>
          <w:bCs/>
          <w:color w:val="FFFFFF" w:themeColor="background1"/>
          <w:sz w:val="28"/>
          <w:szCs w:val="28"/>
        </w:rPr>
        <w:t>rogrammatic Categorical Exclusion (</w:t>
      </w:r>
      <w:r>
        <w:rPr>
          <w:rFonts w:asciiTheme="majorHAnsi" w:eastAsiaTheme="majorEastAsia" w:hAnsiTheme="majorHAnsi" w:cstheme="majorBidi"/>
          <w:b/>
          <w:bCs/>
          <w:color w:val="FFFFFF" w:themeColor="background1"/>
          <w:sz w:val="28"/>
          <w:szCs w:val="28"/>
        </w:rPr>
        <w:t>P</w:t>
      </w:r>
      <w:r w:rsidRPr="001B6166">
        <w:rPr>
          <w:rFonts w:asciiTheme="majorHAnsi" w:eastAsiaTheme="majorEastAsia" w:hAnsiTheme="majorHAnsi" w:cstheme="majorBidi"/>
          <w:b/>
          <w:bCs/>
          <w:color w:val="FFFFFF" w:themeColor="background1"/>
          <w:sz w:val="28"/>
          <w:szCs w:val="28"/>
        </w:rPr>
        <w:t>CE)</w:t>
      </w:r>
    </w:p>
    <w:p w14:paraId="6D380A23" w14:textId="77777777" w:rsidR="001B6166" w:rsidRPr="00A90035" w:rsidRDefault="001B6166" w:rsidP="001B6166">
      <w:pPr>
        <w:rPr>
          <w:rFonts w:cstheme="minorHAnsi"/>
        </w:rPr>
      </w:pPr>
      <w:r w:rsidRPr="00A90035">
        <w:t xml:space="preserve">Programmatic categorical exclusions (PCEs) are similar to CEs in that they are actions </w:t>
      </w:r>
      <w:r w:rsidRPr="00336E7E">
        <w:rPr>
          <w:rFonts w:eastAsia="Times New Roman"/>
        </w:rPr>
        <w:t xml:space="preserve">which meet the definition contained in 40 CFR 1508.4, </w:t>
      </w:r>
      <w:proofErr w:type="gramStart"/>
      <w:r w:rsidRPr="00336E7E">
        <w:rPr>
          <w:rFonts w:eastAsia="Times New Roman"/>
        </w:rPr>
        <w:t>and,</w:t>
      </w:r>
      <w:proofErr w:type="gramEnd"/>
      <w:r w:rsidRPr="00336E7E">
        <w:rPr>
          <w:rFonts w:eastAsia="Times New Roman"/>
        </w:rPr>
        <w:t xml:space="preserve"> based on FHWA's past experience with similar actions, do not involve significant environmental impacts. They are actions that: do not induce significant impacts to planned growth or land use for the area; do not require the relocation of significant numbers of people; do not have a significant impact on any natural, cultural, recreational, </w:t>
      </w:r>
      <w:proofErr w:type="gramStart"/>
      <w:r w:rsidRPr="00336E7E">
        <w:rPr>
          <w:rFonts w:eastAsia="Times New Roman"/>
        </w:rPr>
        <w:t>historic</w:t>
      </w:r>
      <w:proofErr w:type="gramEnd"/>
      <w:r w:rsidRPr="00336E7E">
        <w:rPr>
          <w:rFonts w:eastAsia="Times New Roman"/>
        </w:rPr>
        <w:t xml:space="preserve"> or other resource; do not involve significant air, noise, or water quality impacts; do not have </w:t>
      </w:r>
      <w:r w:rsidRPr="00336E7E">
        <w:rPr>
          <w:rFonts w:eastAsia="Times New Roman" w:cstheme="minorHAnsi"/>
        </w:rPr>
        <w:t>significant impacts on travel patterns; or do not otherwise, either individually or cumulatively, have any significant environmental impacts.</w:t>
      </w:r>
      <w:r w:rsidRPr="00A90035">
        <w:rPr>
          <w:rFonts w:eastAsia="Times New Roman" w:cstheme="minorHAnsi"/>
        </w:rPr>
        <w:t xml:space="preserve"> FHWA and State Departments of Transportation (SDOTs) are under agreement that allow to SDOTs to process CEs directly to simplify the project delivery process. They provide benefits such as (1) </w:t>
      </w:r>
      <w:r w:rsidRPr="00A90035">
        <w:rPr>
          <w:rFonts w:cstheme="minorHAnsi"/>
          <w:color w:val="000000"/>
          <w:shd w:val="clear" w:color="auto" w:fill="FFFFFF"/>
        </w:rPr>
        <w:t>specifying roles and responsibilities of those involved; (2) standardizing coordination and compliance procedures; (3) facilitating the development of greater trust relationships; and (4) allowing staff and resources to be focused and effective.</w:t>
      </w:r>
    </w:p>
    <w:p w14:paraId="1AB5F2AE" w14:textId="77777777" w:rsidR="001B6166" w:rsidRDefault="001B6166" w:rsidP="001B6166"/>
    <w:p w14:paraId="4D16D760" w14:textId="185494F2" w:rsidR="00EA651C" w:rsidRDefault="00EA651C" w:rsidP="00EA651C">
      <w:pPr>
        <w:spacing w:after="240" w:line="240" w:lineRule="auto"/>
        <w:ind w:left="1080" w:hanging="360"/>
      </w:pPr>
    </w:p>
    <w:p w14:paraId="46C4F803" w14:textId="77777777" w:rsidR="00EA651C" w:rsidRDefault="00EA651C" w:rsidP="00EA651C">
      <w:pPr>
        <w:spacing w:after="240" w:line="240" w:lineRule="auto"/>
        <w:ind w:left="360" w:hanging="360"/>
      </w:pPr>
    </w:p>
    <w:p w14:paraId="71EB3538" w14:textId="581459B9" w:rsidR="00A41894" w:rsidRDefault="00A41894" w:rsidP="009579CA">
      <w:pPr>
        <w:spacing w:after="240" w:line="240" w:lineRule="auto"/>
        <w:ind w:left="1080" w:hanging="360"/>
      </w:pPr>
    </w:p>
    <w:sectPr w:rsidR="00A41894" w:rsidSect="008B6AAA">
      <w:headerReference w:type="even" r:id="rId7"/>
      <w:headerReference w:type="default" r:id="rId8"/>
      <w:footerReference w:type="even" r:id="rId9"/>
      <w:footerReference w:type="default" r:id="rId10"/>
      <w:headerReference w:type="first" r:id="rId11"/>
      <w:footerReference w:type="first" r:id="rId12"/>
      <w:pgSz w:w="12240" w:h="15840"/>
      <w:pgMar w:top="1152"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08F1" w14:textId="77777777" w:rsidR="00FA252A" w:rsidRDefault="00FA252A" w:rsidP="004B3B1C">
      <w:pPr>
        <w:spacing w:after="0" w:line="240" w:lineRule="auto"/>
      </w:pPr>
      <w:r>
        <w:separator/>
      </w:r>
    </w:p>
  </w:endnote>
  <w:endnote w:type="continuationSeparator" w:id="0">
    <w:p w14:paraId="2C76739B" w14:textId="77777777" w:rsidR="00FA252A" w:rsidRDefault="00FA252A" w:rsidP="004B3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D0896" w14:textId="77777777" w:rsidR="008C53A4" w:rsidRDefault="008C5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1663582"/>
      <w:docPartObj>
        <w:docPartGallery w:val="Page Numbers (Bottom of Page)"/>
        <w:docPartUnique/>
      </w:docPartObj>
    </w:sdtPr>
    <w:sdtEndPr>
      <w:rPr>
        <w:noProof/>
      </w:rPr>
    </w:sdtEndPr>
    <w:sdtContent>
      <w:p w14:paraId="0C5D3B28" w14:textId="7181A2DF" w:rsidR="0013161E" w:rsidRDefault="0013161E">
        <w:pPr>
          <w:pStyle w:val="Footer"/>
          <w:jc w:val="center"/>
        </w:pPr>
        <w:r>
          <w:rPr>
            <w:noProof/>
          </w:rPr>
          <w:drawing>
            <wp:anchor distT="0" distB="0" distL="114300" distR="114300" simplePos="0" relativeHeight="251659264" behindDoc="1" locked="0" layoutInCell="1" allowOverlap="1" wp14:anchorId="1064DFFF" wp14:editId="25FC9FC7">
              <wp:simplePos x="0" y="0"/>
              <wp:positionH relativeFrom="margin">
                <wp:posOffset>-520700</wp:posOffset>
              </wp:positionH>
              <wp:positionV relativeFrom="paragraph">
                <wp:posOffset>-262327</wp:posOffset>
              </wp:positionV>
              <wp:extent cx="7865850" cy="752354"/>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865850" cy="752354"/>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C8CAC" w14:textId="77777777" w:rsidR="008C53A4" w:rsidRDefault="008C5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E07DD" w14:textId="77777777" w:rsidR="00FA252A" w:rsidRDefault="00FA252A" w:rsidP="004B3B1C">
      <w:pPr>
        <w:spacing w:after="0" w:line="240" w:lineRule="auto"/>
      </w:pPr>
      <w:r>
        <w:separator/>
      </w:r>
    </w:p>
  </w:footnote>
  <w:footnote w:type="continuationSeparator" w:id="0">
    <w:p w14:paraId="429961C4" w14:textId="77777777" w:rsidR="00FA252A" w:rsidRDefault="00FA252A" w:rsidP="004B3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E4800" w14:textId="77777777" w:rsidR="008C53A4" w:rsidRDefault="008C5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8D1F" w14:textId="7CA6386B" w:rsidR="00306A3C" w:rsidRDefault="00306A3C">
    <w:pPr>
      <w:pStyle w:val="Header"/>
      <w:rPr>
        <w:noProof/>
      </w:rPr>
    </w:pPr>
    <w:r>
      <w:rPr>
        <w:noProof/>
      </w:rPr>
      <w:drawing>
        <wp:anchor distT="0" distB="0" distL="114300" distR="114300" simplePos="0" relativeHeight="251658240" behindDoc="0" locked="0" layoutInCell="1" allowOverlap="1" wp14:anchorId="26F4200E" wp14:editId="5EEFF3C5">
          <wp:simplePos x="0" y="0"/>
          <wp:positionH relativeFrom="margin">
            <wp:posOffset>-534670</wp:posOffset>
          </wp:positionH>
          <wp:positionV relativeFrom="paragraph">
            <wp:posOffset>-441061</wp:posOffset>
          </wp:positionV>
          <wp:extent cx="7837805" cy="8102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7805" cy="810260"/>
                  </a:xfrm>
                  <a:prstGeom prst="rect">
                    <a:avLst/>
                  </a:prstGeom>
                </pic:spPr>
              </pic:pic>
            </a:graphicData>
          </a:graphic>
          <wp14:sizeRelH relativeFrom="page">
            <wp14:pctWidth>0</wp14:pctWidth>
          </wp14:sizeRelH>
          <wp14:sizeRelV relativeFrom="page">
            <wp14:pctHeight>0</wp14:pctHeight>
          </wp14:sizeRelV>
        </wp:anchor>
      </w:drawing>
    </w:r>
  </w:p>
  <w:p w14:paraId="1DEB1C92" w14:textId="00489C71" w:rsidR="004B3B1C" w:rsidRDefault="004B3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AF622" w14:textId="77777777" w:rsidR="008C53A4" w:rsidRDefault="008C53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2MLE0NTYwM7C0MLRU0lEKTi0uzszPAykwqwUAN84tRiwAAAA="/>
  </w:docVars>
  <w:rsids>
    <w:rsidRoot w:val="003B3D75"/>
    <w:rsid w:val="00091769"/>
    <w:rsid w:val="0013161E"/>
    <w:rsid w:val="001B6166"/>
    <w:rsid w:val="001F640D"/>
    <w:rsid w:val="003005D6"/>
    <w:rsid w:val="00306A3C"/>
    <w:rsid w:val="0031113D"/>
    <w:rsid w:val="00314501"/>
    <w:rsid w:val="00387D2E"/>
    <w:rsid w:val="003B3D75"/>
    <w:rsid w:val="003D4363"/>
    <w:rsid w:val="00415363"/>
    <w:rsid w:val="004B3B1C"/>
    <w:rsid w:val="00511C61"/>
    <w:rsid w:val="005569F8"/>
    <w:rsid w:val="005A44D3"/>
    <w:rsid w:val="005A7FA1"/>
    <w:rsid w:val="005B2A50"/>
    <w:rsid w:val="00605DC7"/>
    <w:rsid w:val="00615C68"/>
    <w:rsid w:val="00764166"/>
    <w:rsid w:val="007B5565"/>
    <w:rsid w:val="007E68C4"/>
    <w:rsid w:val="00801D0A"/>
    <w:rsid w:val="00876ADB"/>
    <w:rsid w:val="008B6AAA"/>
    <w:rsid w:val="008C53A4"/>
    <w:rsid w:val="008E2623"/>
    <w:rsid w:val="00954E21"/>
    <w:rsid w:val="009579CA"/>
    <w:rsid w:val="009F39C3"/>
    <w:rsid w:val="009F4D9E"/>
    <w:rsid w:val="00A41894"/>
    <w:rsid w:val="00B05193"/>
    <w:rsid w:val="00B33880"/>
    <w:rsid w:val="00B54E8E"/>
    <w:rsid w:val="00B6418A"/>
    <w:rsid w:val="00BA282A"/>
    <w:rsid w:val="00BC4A6F"/>
    <w:rsid w:val="00C56D4D"/>
    <w:rsid w:val="00CB7D08"/>
    <w:rsid w:val="00CD797E"/>
    <w:rsid w:val="00D17B3A"/>
    <w:rsid w:val="00E22554"/>
    <w:rsid w:val="00EA651C"/>
    <w:rsid w:val="00ED6E26"/>
    <w:rsid w:val="00F800E4"/>
    <w:rsid w:val="00FA252A"/>
    <w:rsid w:val="00FF40EB"/>
    <w:rsid w:val="2186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D9E45BD"/>
  <w15:chartTrackingRefBased/>
  <w15:docId w15:val="{E90C02D1-A7C1-4BDE-BD97-62FF74A8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80"/>
    <w:rPr>
      <w:sz w:val="24"/>
    </w:rPr>
  </w:style>
  <w:style w:type="paragraph" w:styleId="Heading1">
    <w:name w:val="heading 1"/>
    <w:basedOn w:val="Normal"/>
    <w:next w:val="Normal"/>
    <w:link w:val="Heading1Char"/>
    <w:uiPriority w:val="9"/>
    <w:qFormat/>
    <w:rsid w:val="00B33880"/>
    <w:pPr>
      <w:keepNext/>
      <w:keepLines/>
      <w:spacing w:before="240" w:after="0"/>
      <w:outlineLvl w:val="0"/>
    </w:pPr>
    <w:rPr>
      <w:rFonts w:asciiTheme="majorHAnsi" w:eastAsiaTheme="majorEastAsia" w:hAnsiTheme="majorHAnsi" w:cstheme="majorBidi"/>
      <w:color w:val="C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0A"/>
    <w:rPr>
      <w:color w:val="0563C1" w:themeColor="hyperlink"/>
      <w:u w:val="single"/>
    </w:rPr>
  </w:style>
  <w:style w:type="character" w:styleId="UnresolvedMention">
    <w:name w:val="Unresolved Mention"/>
    <w:basedOn w:val="DefaultParagraphFont"/>
    <w:uiPriority w:val="99"/>
    <w:semiHidden/>
    <w:unhideWhenUsed/>
    <w:rsid w:val="00801D0A"/>
    <w:rPr>
      <w:color w:val="605E5C"/>
      <w:shd w:val="clear" w:color="auto" w:fill="E1DFDD"/>
    </w:rPr>
  </w:style>
  <w:style w:type="paragraph" w:styleId="BalloonText">
    <w:name w:val="Balloon Text"/>
    <w:basedOn w:val="Normal"/>
    <w:link w:val="BalloonTextChar"/>
    <w:uiPriority w:val="99"/>
    <w:semiHidden/>
    <w:unhideWhenUsed/>
    <w:rsid w:val="00B33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80"/>
    <w:rPr>
      <w:rFonts w:ascii="Segoe UI" w:hAnsi="Segoe UI" w:cs="Segoe UI"/>
      <w:sz w:val="18"/>
      <w:szCs w:val="18"/>
    </w:rPr>
  </w:style>
  <w:style w:type="character" w:customStyle="1" w:styleId="Heading1Char">
    <w:name w:val="Heading 1 Char"/>
    <w:basedOn w:val="DefaultParagraphFont"/>
    <w:link w:val="Heading1"/>
    <w:uiPriority w:val="9"/>
    <w:rsid w:val="00B33880"/>
    <w:rPr>
      <w:rFonts w:asciiTheme="majorHAnsi" w:eastAsiaTheme="majorEastAsia" w:hAnsiTheme="majorHAnsi" w:cstheme="majorBidi"/>
      <w:color w:val="C00000"/>
      <w:sz w:val="32"/>
      <w:szCs w:val="32"/>
    </w:rPr>
  </w:style>
  <w:style w:type="paragraph" w:styleId="Header">
    <w:name w:val="header"/>
    <w:basedOn w:val="Normal"/>
    <w:link w:val="HeaderChar"/>
    <w:uiPriority w:val="99"/>
    <w:unhideWhenUsed/>
    <w:rsid w:val="004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B1C"/>
    <w:rPr>
      <w:sz w:val="24"/>
    </w:rPr>
  </w:style>
  <w:style w:type="paragraph" w:styleId="Footer">
    <w:name w:val="footer"/>
    <w:basedOn w:val="Normal"/>
    <w:link w:val="FooterChar"/>
    <w:uiPriority w:val="99"/>
    <w:unhideWhenUsed/>
    <w:rsid w:val="004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B1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3BF8A-77A1-445D-B248-4FEACA1CAB27}">
  <ds:schemaRefs>
    <ds:schemaRef ds:uri="http://schemas.openxmlformats.org/officeDocument/2006/bibliography"/>
  </ds:schemaRefs>
</ds:datastoreItem>
</file>

<file path=customXml/itemProps2.xml><?xml version="1.0" encoding="utf-8"?>
<ds:datastoreItem xmlns:ds="http://schemas.openxmlformats.org/officeDocument/2006/customXml" ds:itemID="{DF8B0F26-7FFC-4458-B2AB-E7C879D816D3}"/>
</file>

<file path=customXml/itemProps3.xml><?xml version="1.0" encoding="utf-8"?>
<ds:datastoreItem xmlns:ds="http://schemas.openxmlformats.org/officeDocument/2006/customXml" ds:itemID="{4BEB7960-7634-45D6-88CD-56A38879752A}"/>
</file>

<file path=customXml/itemProps4.xml><?xml version="1.0" encoding="utf-8"?>
<ds:datastoreItem xmlns:ds="http://schemas.openxmlformats.org/officeDocument/2006/customXml" ds:itemID="{E217AFFE-36FD-4AFA-81A7-AF66039D1257}"/>
</file>

<file path=docProps/app.xml><?xml version="1.0" encoding="utf-8"?>
<Properties xmlns="http://schemas.openxmlformats.org/officeDocument/2006/extended-properties" xmlns:vt="http://schemas.openxmlformats.org/officeDocument/2006/docPropsVTypes">
  <Template>Normal</Template>
  <TotalTime>5</TotalTime>
  <Pages>1</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RKK</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J. Kiegel</dc:creator>
  <cp:keywords/>
  <dc:description/>
  <cp:lastModifiedBy>Andrea Elcock</cp:lastModifiedBy>
  <cp:revision>5</cp:revision>
  <dcterms:created xsi:type="dcterms:W3CDTF">2020-12-10T19:13:00Z</dcterms:created>
  <dcterms:modified xsi:type="dcterms:W3CDTF">2020-12-11T17:11:00Z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